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lang w:bidi="ar"/>
        </w:rPr>
      </w:pPr>
    </w:p>
    <w:p>
      <w:pPr>
        <w:spacing w:line="560" w:lineRule="exact"/>
        <w:ind w:firstLine="720" w:firstLineChars="200"/>
        <w:jc w:val="left"/>
        <w:rPr>
          <w:rFonts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  <w:t>广东省高等教育学会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6"/>
          <w:szCs w:val="36"/>
          <w:lang w:eastAsia="zh-CN" w:bidi="ar"/>
        </w:rPr>
        <w:t>“</w:t>
      </w:r>
      <w:r>
        <w:rPr>
          <w:rFonts w:hint="eastAsia"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  <w:t>十四五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6"/>
          <w:szCs w:val="36"/>
          <w:lang w:eastAsia="zh-CN" w:bidi="ar"/>
        </w:rPr>
        <w:t>”</w:t>
      </w:r>
      <w:r>
        <w:rPr>
          <w:rFonts w:hint="eastAsia"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  <w:t>规划2022年度</w:t>
      </w:r>
    </w:p>
    <w:p>
      <w:pPr>
        <w:spacing w:line="700" w:lineRule="exact"/>
        <w:jc w:val="center"/>
        <w:rPr>
          <w:rFonts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  <w:t>高等教育研究课题指南</w:t>
      </w:r>
    </w:p>
    <w:p>
      <w:pPr>
        <w:spacing w:line="560" w:lineRule="exact"/>
        <w:rPr>
          <w:rFonts w:ascii="方正小标宋简体" w:hAnsi="黑体" w:eastAsia="方正小标宋简体" w:cs="黑体"/>
          <w:bCs/>
          <w:color w:val="000000"/>
          <w:kern w:val="0"/>
          <w:sz w:val="36"/>
          <w:szCs w:val="36"/>
          <w:lang w:bidi="ar"/>
        </w:rPr>
      </w:pP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（一）习近平总书记关于教育的重要论述研究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（二）普及化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时代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的高等教育改革发展研究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（三）建设高质量高等教育体系整体规划与战略举措研究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（四）高等教育高质量发展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的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理念、机制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与行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动研究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（五）提升高等教育治理体系和治理能力现代化水平研究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（六）推动高校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优质化、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分类化、特色化发展研究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（七）新时代高等教育评价体制机制改革研究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（八）推进高校新型智库建设研究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（九）促进产学研结合、科教融合、产教融合、校企合作的政策引导研究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交叉学科建设路径研究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十一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拔尖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创新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人才培养机制研究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十二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广东“双一流”建设高校分类特色发展研究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加快推进广东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亟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需学科发展策略研究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十四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应用学科与区域经济社会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高质量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发展对接联动研究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十五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广东“新工科”建设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策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略研究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十六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广东“新医科”建设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策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略研究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十七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广东“新农科”建设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策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略研究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十八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广东“新文科”建设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策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略研究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十九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广东“新师范”建设策略研究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高水平师范院校建设研究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二十一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高校科研组织模式创新研究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二十二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高校教学组织模式创新研究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粤东西北高校学科特色发展研究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（二十四）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高校服务区域经济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社会高质量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二十五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普及化时代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民办高等教育发展定位与价值变革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二十六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民办高校高质量发展目标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任务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和路径研究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二十七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独立学院转设后发展挑战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与策略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选择研究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（二十八）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非营利性民办高校监管体系研究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（二十九）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营利性民办高校监管制度研究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新时代民办高等教育治理体系研究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（三十一）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民办高校人才培养模式与机制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创新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（三十二）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粤港澳大湾区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高等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教育合作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发展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：民办高校的角色与功能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（三十三）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“一带一路”背景下民办高校“走出去”研究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（三十四）高等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职业教育适应性的提升策略及路径研究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（三十五）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中国特色学徒制的探索研究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（三十六）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职业本科教育的院校、专业建设研究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（三十七）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深圳先行示范区高等教育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高质量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（三十八）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新时代科教融合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产教融合、校企合作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育人模式研究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（三十九）现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代产业学院育人模式研究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新工科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新农科、新医科、新文科建设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背景下产业学院建设的政策支持体系研究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（四十一）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现代产业学院建设标准研究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（四十二）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粤港澳大湾区国际教育示范区建设研究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（四十三）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粤港澳大湾区高等教育合作发展研究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（四十四）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粤港澳大湾区产学研资源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共建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共享机制创新研究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（四十五）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高等教育服务粤港澳大湾区国际科技创新中心建设研究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（四十六）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粤港澳大湾区科教融合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产教融合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、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校企合作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t>的政策支持研究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（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四十七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eastAsia="zh-CN" w:bidi="ar"/>
        </w:rPr>
        <w:t>）</w:t>
      </w: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高等学校教学创新研究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（四十八）高等学校思政课建设与课程思政改革研究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（四十九）高等学校高素质专业化创新型教师队伍建设改革研究</w:t>
      </w:r>
    </w:p>
    <w:p>
      <w:pPr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val="en-US" w:eastAsia="zh-CN" w:bidi="ar"/>
        </w:rPr>
        <w:t>（五十）人工智能与高校教育教学改革研究</w:t>
      </w:r>
    </w:p>
    <w:p>
      <w:pPr>
        <w:spacing w:line="560" w:lineRule="exact"/>
        <w:ind w:firstLine="1600" w:firstLineChars="500"/>
        <w:rPr>
          <w:rFonts w:hint="eastAsia"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7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2022-03-03T05:10:59Z</dcterms:created>
  <dc:creator>934940350</dc:creator>
  <cp:lastModifiedBy>Laura 、</cp:lastModifiedBy>
  <dcterms:modified xsi:type="dcterms:W3CDTF">2022-03-03T05:11:14Z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6FF7D3A60D2C4075878C4AACC0C91BAE</vt:lpwstr>
  </property>
</Properties>
</file>